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58" w:rsidRPr="003A0D9D" w:rsidRDefault="00833C58" w:rsidP="00833C58">
      <w:pPr>
        <w:pStyle w:val="Heading1"/>
        <w:spacing w:before="0" w:after="0"/>
        <w:rPr>
          <w:rFonts w:ascii="Times New Roman" w:hAnsi="Times New Roman"/>
          <w:sz w:val="24"/>
          <w:szCs w:val="24"/>
        </w:rPr>
      </w:pPr>
      <w:bookmarkStart w:id="0" w:name="_Toc482614012"/>
      <w:bookmarkStart w:id="1" w:name="_Toc482614017"/>
    </w:p>
    <w:p w:rsidR="00833C58" w:rsidRPr="00F06921" w:rsidRDefault="00833C58" w:rsidP="00833C58">
      <w:pPr>
        <w:pStyle w:val="Heading1"/>
        <w:spacing w:before="0" w:after="0"/>
        <w:rPr>
          <w:rFonts w:ascii="Times New Roman" w:hAnsi="Times New Roman"/>
          <w:sz w:val="28"/>
          <w:szCs w:val="28"/>
        </w:rPr>
      </w:pPr>
      <w:r w:rsidRPr="00F06921">
        <w:rPr>
          <w:rFonts w:ascii="Times New Roman" w:hAnsi="Times New Roman"/>
          <w:sz w:val="28"/>
          <w:szCs w:val="28"/>
        </w:rPr>
        <w:t>CAPITOLUL I</w:t>
      </w:r>
      <w:bookmarkEnd w:id="0"/>
    </w:p>
    <w:p w:rsidR="00833C58" w:rsidRDefault="00F21CED" w:rsidP="008E728F">
      <w:pPr>
        <w:pStyle w:val="Heading1"/>
        <w:tabs>
          <w:tab w:val="left" w:pos="0"/>
        </w:tabs>
        <w:spacing w:before="0" w:after="0"/>
        <w:rPr>
          <w:rFonts w:ascii="Times New Roman" w:hAnsi="Times New Roman"/>
          <w:sz w:val="28"/>
          <w:szCs w:val="28"/>
        </w:rPr>
      </w:pPr>
      <w:bookmarkStart w:id="2" w:name="_Toc482614013"/>
      <w:r w:rsidRPr="00F06921">
        <w:rPr>
          <w:rFonts w:ascii="Times New Roman" w:hAnsi="Times New Roman"/>
          <w:sz w:val="28"/>
          <w:szCs w:val="28"/>
        </w:rPr>
        <w:t>ASPECTE TEORETICE ALE AUDITULUI FINANCIAR</w:t>
      </w:r>
      <w:bookmarkEnd w:id="2"/>
      <w:r w:rsidRPr="00F06921">
        <w:rPr>
          <w:rFonts w:ascii="Times New Roman" w:hAnsi="Times New Roman"/>
          <w:sz w:val="28"/>
          <w:szCs w:val="28"/>
        </w:rPr>
        <w:t xml:space="preserve"> </w:t>
      </w:r>
    </w:p>
    <w:p w:rsidR="008E728F" w:rsidRPr="003A0D9D" w:rsidRDefault="008E728F" w:rsidP="003A0D9D">
      <w:pPr>
        <w:spacing w:after="0"/>
        <w:rPr>
          <w:rFonts w:ascii="Times New Roman" w:hAnsi="Times New Roman" w:cs="Times New Roman"/>
          <w:sz w:val="20"/>
          <w:szCs w:val="20"/>
          <w:lang w:val="ro-RO" w:eastAsia="ar-SA"/>
        </w:rPr>
      </w:pPr>
    </w:p>
    <w:p w:rsidR="00700C28" w:rsidRDefault="00700C28" w:rsidP="008E728F">
      <w:pPr>
        <w:spacing w:after="0"/>
        <w:ind w:firstLine="567"/>
        <w:rPr>
          <w:rFonts w:ascii="Times New Roman" w:hAnsi="Times New Roman" w:cs="Times New Roman"/>
          <w:sz w:val="24"/>
          <w:szCs w:val="24"/>
          <w:lang w:val="ro-RO"/>
        </w:rPr>
      </w:pPr>
      <w:r w:rsidRPr="00700C28">
        <w:rPr>
          <w:rFonts w:ascii="Times New Roman" w:hAnsi="Times New Roman" w:cs="Times New Roman"/>
          <w:sz w:val="24"/>
          <w:szCs w:val="24"/>
        </w:rPr>
        <w:t>I. GENERALIT</w:t>
      </w:r>
      <w:r w:rsidRPr="00700C28">
        <w:rPr>
          <w:rFonts w:ascii="Times New Roman" w:hAnsi="Times New Roman" w:cs="Times New Roman"/>
          <w:sz w:val="24"/>
          <w:szCs w:val="24"/>
          <w:lang w:val="ro-RO"/>
        </w:rPr>
        <w:t>ĂȚI</w:t>
      </w:r>
    </w:p>
    <w:p w:rsidR="003A0D9D" w:rsidRPr="003A0D9D" w:rsidRDefault="003A0D9D" w:rsidP="008E728F">
      <w:pPr>
        <w:spacing w:after="0"/>
        <w:ind w:firstLine="567"/>
        <w:rPr>
          <w:rFonts w:ascii="Times New Roman" w:hAnsi="Times New Roman" w:cs="Times New Roman"/>
          <w:sz w:val="16"/>
          <w:szCs w:val="16"/>
          <w:lang w:val="ro-RO"/>
        </w:rPr>
      </w:pPr>
    </w:p>
    <w:p w:rsidR="00B33796" w:rsidRPr="00700C28" w:rsidRDefault="00B33796" w:rsidP="003A0D9D">
      <w:pPr>
        <w:pStyle w:val="Heading2"/>
        <w:spacing w:before="0" w:line="240" w:lineRule="auto"/>
        <w:ind w:firstLine="720"/>
        <w:rPr>
          <w:rFonts w:ascii="Times New Roman" w:hAnsi="Times New Roman" w:cs="Times New Roman"/>
          <w:i/>
          <w:color w:val="auto"/>
          <w:sz w:val="22"/>
          <w:szCs w:val="22"/>
        </w:rPr>
      </w:pPr>
      <w:r w:rsidRPr="00700C28">
        <w:rPr>
          <w:rFonts w:ascii="Times New Roman" w:hAnsi="Times New Roman" w:cs="Times New Roman"/>
          <w:i/>
          <w:color w:val="auto"/>
          <w:sz w:val="22"/>
          <w:szCs w:val="22"/>
        </w:rPr>
        <w:t>1.</w:t>
      </w:r>
      <w:r w:rsidR="00600DE2" w:rsidRPr="00700C28">
        <w:rPr>
          <w:rFonts w:ascii="Times New Roman" w:hAnsi="Times New Roman" w:cs="Times New Roman"/>
          <w:i/>
          <w:color w:val="auto"/>
          <w:sz w:val="22"/>
          <w:szCs w:val="22"/>
        </w:rPr>
        <w:t>1</w:t>
      </w:r>
      <w:r w:rsidRPr="00700C28">
        <w:rPr>
          <w:rFonts w:ascii="Times New Roman" w:hAnsi="Times New Roman" w:cs="Times New Roman"/>
          <w:i/>
          <w:color w:val="auto"/>
          <w:sz w:val="22"/>
          <w:szCs w:val="22"/>
        </w:rPr>
        <w:t>.</w:t>
      </w:r>
      <w:r w:rsidR="00833C58" w:rsidRPr="00700C28">
        <w:rPr>
          <w:rFonts w:ascii="Times New Roman" w:hAnsi="Times New Roman" w:cs="Times New Roman"/>
          <w:i/>
          <w:color w:val="auto"/>
          <w:sz w:val="22"/>
          <w:szCs w:val="22"/>
        </w:rPr>
        <w:t xml:space="preserve"> </w:t>
      </w:r>
      <w:proofErr w:type="spellStart"/>
      <w:r w:rsidRPr="00700C28">
        <w:rPr>
          <w:rFonts w:ascii="Times New Roman" w:hAnsi="Times New Roman" w:cs="Times New Roman"/>
          <w:i/>
          <w:color w:val="auto"/>
          <w:sz w:val="22"/>
          <w:szCs w:val="22"/>
        </w:rPr>
        <w:t>Tipurile</w:t>
      </w:r>
      <w:proofErr w:type="spellEnd"/>
      <w:r w:rsidRPr="00700C28">
        <w:rPr>
          <w:rFonts w:ascii="Times New Roman" w:hAnsi="Times New Roman" w:cs="Times New Roman"/>
          <w:i/>
          <w:color w:val="auto"/>
          <w:sz w:val="22"/>
          <w:szCs w:val="22"/>
        </w:rPr>
        <w:t xml:space="preserve"> de audit </w:t>
      </w:r>
      <w:proofErr w:type="spellStart"/>
      <w:r w:rsidRPr="00700C28">
        <w:rPr>
          <w:rFonts w:ascii="Times New Roman" w:hAnsi="Times New Roman" w:cs="Times New Roman"/>
          <w:i/>
          <w:color w:val="auto"/>
          <w:sz w:val="22"/>
          <w:szCs w:val="22"/>
        </w:rPr>
        <w:t>financiar</w:t>
      </w:r>
      <w:bookmarkEnd w:id="1"/>
      <w:proofErr w:type="spellEnd"/>
    </w:p>
    <w:p w:rsidR="00B33796" w:rsidRPr="003A0D9D" w:rsidRDefault="00B33796" w:rsidP="00B33796">
      <w:pPr>
        <w:pStyle w:val="BodyTextIndent"/>
        <w:spacing w:line="240" w:lineRule="auto"/>
        <w:ind w:firstLine="720"/>
        <w:rPr>
          <w:b w:val="0"/>
          <w:color w:val="FF0000"/>
          <w:sz w:val="12"/>
          <w:szCs w:val="12"/>
        </w:rPr>
      </w:pPr>
    </w:p>
    <w:p w:rsidR="00B33796" w:rsidRPr="00F21CED" w:rsidRDefault="00B33796" w:rsidP="007C5BB0">
      <w:pPr>
        <w:pStyle w:val="BodyTextIndent"/>
        <w:spacing w:line="240" w:lineRule="auto"/>
        <w:ind w:left="0" w:firstLine="567"/>
        <w:rPr>
          <w:b w:val="0"/>
          <w:color w:val="000000"/>
          <w:sz w:val="22"/>
          <w:szCs w:val="22"/>
        </w:rPr>
      </w:pPr>
      <w:r w:rsidRPr="00F21CED">
        <w:rPr>
          <w:b w:val="0"/>
          <w:color w:val="000000"/>
          <w:sz w:val="22"/>
          <w:szCs w:val="22"/>
        </w:rPr>
        <w:t>De la apariţia sa şi până în prezent, auditul financiar a fost clasificat de către specialiştii în domeniu, având la bază o serie de criterii.</w:t>
      </w:r>
    </w:p>
    <w:p w:rsidR="00B33796" w:rsidRPr="00F21CED" w:rsidRDefault="00B33796" w:rsidP="007C5BB0">
      <w:pPr>
        <w:pStyle w:val="BodyTextIndent"/>
        <w:tabs>
          <w:tab w:val="left" w:pos="960"/>
        </w:tabs>
        <w:spacing w:line="240" w:lineRule="auto"/>
        <w:ind w:left="0" w:firstLine="567"/>
        <w:rPr>
          <w:b w:val="0"/>
          <w:color w:val="000000"/>
          <w:sz w:val="22"/>
          <w:szCs w:val="22"/>
        </w:rPr>
      </w:pPr>
      <w:r w:rsidRPr="00F21CED">
        <w:rPr>
          <w:b w:val="0"/>
          <w:color w:val="000000"/>
          <w:sz w:val="22"/>
          <w:szCs w:val="22"/>
        </w:rPr>
        <w:t>Din studierea resurselor bibliografice am desprins existenţa mai multor tipuri de audit, care în opinia mea, pot fi clasificate astfel:</w:t>
      </w:r>
    </w:p>
    <w:p w:rsidR="00B33796" w:rsidRPr="00F21CED" w:rsidRDefault="00B33796" w:rsidP="007C5BB0">
      <w:pPr>
        <w:pStyle w:val="BodyTextIndent"/>
        <w:numPr>
          <w:ilvl w:val="0"/>
          <w:numId w:val="7"/>
        </w:numPr>
        <w:tabs>
          <w:tab w:val="clear" w:pos="1068"/>
        </w:tabs>
        <w:spacing w:line="240" w:lineRule="auto"/>
        <w:ind w:left="851" w:hanging="284"/>
        <w:rPr>
          <w:b w:val="0"/>
          <w:color w:val="000000"/>
          <w:sz w:val="22"/>
          <w:szCs w:val="22"/>
        </w:rPr>
      </w:pPr>
      <w:r w:rsidRPr="00F21CED">
        <w:rPr>
          <w:b w:val="0"/>
          <w:color w:val="000000"/>
          <w:sz w:val="22"/>
          <w:szCs w:val="22"/>
        </w:rPr>
        <w:t xml:space="preserve">În funcţie de </w:t>
      </w:r>
      <w:r w:rsidRPr="00F21CED">
        <w:rPr>
          <w:b w:val="0"/>
          <w:i/>
          <w:color w:val="000000"/>
          <w:sz w:val="22"/>
          <w:szCs w:val="22"/>
        </w:rPr>
        <w:t>afilierea auditorilor</w:t>
      </w:r>
      <w:r w:rsidRPr="00F21CED">
        <w:rPr>
          <w:b w:val="0"/>
          <w:color w:val="000000"/>
          <w:sz w:val="22"/>
          <w:szCs w:val="22"/>
        </w:rPr>
        <w:t xml:space="preserve"> se pot distinge trei tipuri de audit financiar şi anume: </w:t>
      </w:r>
    </w:p>
    <w:p w:rsidR="00833C58" w:rsidRPr="00F21CED" w:rsidRDefault="00B33796" w:rsidP="007C5BB0">
      <w:pPr>
        <w:pStyle w:val="BodyTextIndent"/>
        <w:numPr>
          <w:ilvl w:val="1"/>
          <w:numId w:val="7"/>
        </w:numPr>
        <w:tabs>
          <w:tab w:val="clear" w:pos="1788"/>
        </w:tabs>
        <w:spacing w:line="240" w:lineRule="auto"/>
        <w:ind w:left="851" w:hanging="284"/>
        <w:rPr>
          <w:b w:val="0"/>
          <w:color w:val="000000"/>
          <w:sz w:val="22"/>
          <w:szCs w:val="22"/>
        </w:rPr>
      </w:pPr>
      <w:r w:rsidRPr="00F21CED">
        <w:rPr>
          <w:b w:val="0"/>
          <w:i/>
          <w:color w:val="000000"/>
          <w:spacing w:val="4"/>
          <w:sz w:val="22"/>
          <w:szCs w:val="22"/>
        </w:rPr>
        <w:t xml:space="preserve">auditul intern </w:t>
      </w:r>
      <w:r w:rsidRPr="00F21CED">
        <w:rPr>
          <w:b w:val="0"/>
          <w:color w:val="000000"/>
          <w:spacing w:val="4"/>
          <w:sz w:val="22"/>
          <w:szCs w:val="22"/>
        </w:rPr>
        <w:t>– reprezintă o verificare sub aspect tehnic, managerial şi financiar-contabil a unei entităţi patrimoniale, destinată să realizeze un diagnostic general al sistemului. Acest tip de verificare are un caracter conco</w:t>
      </w:r>
      <w:r w:rsidR="00833C58" w:rsidRPr="00F21CED">
        <w:rPr>
          <w:b w:val="0"/>
          <w:color w:val="000000"/>
          <w:spacing w:val="4"/>
          <w:sz w:val="22"/>
          <w:szCs w:val="22"/>
        </w:rPr>
        <w:t>mitent derulării evenimentelor.</w:t>
      </w:r>
    </w:p>
    <w:p w:rsidR="00B33796" w:rsidRPr="00F21CED" w:rsidRDefault="00B33796" w:rsidP="007C5BB0">
      <w:pPr>
        <w:pStyle w:val="BodyTextIndent"/>
        <w:spacing w:line="240" w:lineRule="auto"/>
        <w:ind w:left="0" w:firstLine="567"/>
        <w:rPr>
          <w:b w:val="0"/>
          <w:color w:val="000000"/>
          <w:sz w:val="22"/>
          <w:szCs w:val="22"/>
        </w:rPr>
      </w:pPr>
      <w:r w:rsidRPr="00F21CED">
        <w:rPr>
          <w:b w:val="0"/>
          <w:color w:val="000000"/>
          <w:spacing w:val="4"/>
          <w:sz w:val="22"/>
          <w:szCs w:val="22"/>
        </w:rPr>
        <w:t>Practic, el vizează anumite obiective pe tot parcursul anului, precum şi cele care sunt în curs de derulare, deci, este o verificare de tip</w:t>
      </w:r>
      <w:r w:rsidRPr="00F21CED">
        <w:rPr>
          <w:b w:val="0"/>
          <w:color w:val="000000"/>
          <w:sz w:val="22"/>
          <w:szCs w:val="22"/>
        </w:rPr>
        <w:t xml:space="preserve"> permanent. </w:t>
      </w:r>
    </w:p>
    <w:p w:rsidR="00B33796" w:rsidRPr="00F21CED" w:rsidRDefault="00B33796" w:rsidP="007C5BB0">
      <w:pPr>
        <w:pStyle w:val="BodyTextIndent"/>
        <w:spacing w:line="240" w:lineRule="auto"/>
        <w:ind w:left="0" w:firstLine="567"/>
        <w:rPr>
          <w:b w:val="0"/>
          <w:color w:val="000000"/>
          <w:sz w:val="22"/>
          <w:szCs w:val="22"/>
        </w:rPr>
      </w:pPr>
      <w:r w:rsidRPr="00F21CED">
        <w:rPr>
          <w:b w:val="0"/>
          <w:color w:val="000000"/>
          <w:sz w:val="22"/>
          <w:szCs w:val="22"/>
        </w:rPr>
        <w:t>Auditul intern, este aplicabil atât agenţilor economici cât şi instituţiilor publice. Realizarea acestui tip de audit se face de către personalul propriu</w:t>
      </w:r>
      <w:r w:rsidR="007C5BB0" w:rsidRPr="00F21CED">
        <w:rPr>
          <w:b w:val="0"/>
          <w:color w:val="000000"/>
          <w:sz w:val="22"/>
          <w:szCs w:val="22"/>
        </w:rPr>
        <w:t>.</w:t>
      </w:r>
    </w:p>
    <w:p w:rsidR="00B33796" w:rsidRPr="00F21CED" w:rsidRDefault="00B33796" w:rsidP="007C5BB0">
      <w:pPr>
        <w:pStyle w:val="BodyTextIndent"/>
        <w:numPr>
          <w:ilvl w:val="1"/>
          <w:numId w:val="7"/>
        </w:numPr>
        <w:tabs>
          <w:tab w:val="clear" w:pos="1788"/>
        </w:tabs>
        <w:spacing w:line="240" w:lineRule="auto"/>
        <w:ind w:left="851" w:hanging="284"/>
        <w:rPr>
          <w:b w:val="0"/>
          <w:color w:val="000000"/>
          <w:sz w:val="22"/>
          <w:szCs w:val="22"/>
        </w:rPr>
      </w:pPr>
      <w:r w:rsidRPr="00F21CED">
        <w:rPr>
          <w:b w:val="0"/>
          <w:i/>
          <w:color w:val="000000"/>
          <w:sz w:val="22"/>
          <w:szCs w:val="22"/>
        </w:rPr>
        <w:t xml:space="preserve">auditul extern </w:t>
      </w:r>
      <w:r w:rsidRPr="00F21CED">
        <w:rPr>
          <w:b w:val="0"/>
          <w:color w:val="000000"/>
          <w:sz w:val="22"/>
          <w:szCs w:val="22"/>
        </w:rPr>
        <w:t xml:space="preserve">– este o lucrare de atestare a veridicităţii informaţiilor şi poate cuprinde o gamă largă de servicii, stabilite în funcţie de cerinţele stabilite prin contractul de audit. Este un audit independent, realizat de auditori independenţi, angajaţi pe baza unui contract de colaborare. Acest tip de audit se mai numeşte şi </w:t>
      </w:r>
      <w:r w:rsidRPr="00F21CED">
        <w:rPr>
          <w:b w:val="0"/>
          <w:i/>
          <w:color w:val="000000"/>
          <w:sz w:val="22"/>
          <w:szCs w:val="22"/>
        </w:rPr>
        <w:t>audit contractual</w:t>
      </w:r>
      <w:r w:rsidRPr="00F21CED">
        <w:rPr>
          <w:b w:val="0"/>
          <w:color w:val="000000"/>
          <w:sz w:val="22"/>
          <w:szCs w:val="22"/>
        </w:rPr>
        <w:t xml:space="preserve">. Raportul de audit încheiat are rolul de a exprima opinia auditorului cu privire la regularitatea şi sinceritatea datelor prezentate de situaţiile financiare, iar din sinteza acestora </w:t>
      </w:r>
      <w:r w:rsidRPr="00F21CED">
        <w:rPr>
          <w:b w:val="0"/>
          <w:color w:val="000000"/>
          <w:sz w:val="22"/>
          <w:szCs w:val="22"/>
        </w:rPr>
        <w:lastRenderedPageBreak/>
        <w:t>rezultă o imagine fidelă, clară şi completă a patrimoniului; acest tip de verificare se realizează de regulă anual.</w:t>
      </w:r>
    </w:p>
    <w:p w:rsidR="00B33796" w:rsidRPr="00F21CED" w:rsidRDefault="00B33796" w:rsidP="007C5BB0">
      <w:pPr>
        <w:pStyle w:val="BodyTextIndent"/>
        <w:numPr>
          <w:ilvl w:val="0"/>
          <w:numId w:val="8"/>
        </w:numPr>
        <w:spacing w:line="240" w:lineRule="auto"/>
        <w:ind w:left="851" w:hanging="284"/>
        <w:rPr>
          <w:b w:val="0"/>
          <w:color w:val="000000"/>
          <w:sz w:val="22"/>
          <w:szCs w:val="22"/>
        </w:rPr>
      </w:pPr>
      <w:r w:rsidRPr="00F21CED">
        <w:rPr>
          <w:b w:val="0"/>
          <w:i/>
          <w:color w:val="000000"/>
          <w:spacing w:val="-2"/>
          <w:sz w:val="22"/>
          <w:szCs w:val="22"/>
        </w:rPr>
        <w:t xml:space="preserve">auditul fiscal </w:t>
      </w:r>
      <w:r w:rsidRPr="00F21CED">
        <w:rPr>
          <w:b w:val="0"/>
          <w:color w:val="000000"/>
          <w:spacing w:val="-2"/>
          <w:sz w:val="22"/>
          <w:szCs w:val="22"/>
        </w:rPr>
        <w:t xml:space="preserve">– mai este cunoscut şi sub denumirea de </w:t>
      </w:r>
      <w:r w:rsidRPr="00F21CED">
        <w:rPr>
          <w:b w:val="0"/>
          <w:i/>
          <w:color w:val="000000"/>
          <w:spacing w:val="-2"/>
          <w:sz w:val="22"/>
          <w:szCs w:val="22"/>
        </w:rPr>
        <w:t>audit guvernamental</w:t>
      </w:r>
      <w:r w:rsidRPr="00F21CED">
        <w:rPr>
          <w:b w:val="0"/>
          <w:color w:val="000000"/>
          <w:spacing w:val="-2"/>
          <w:sz w:val="22"/>
          <w:szCs w:val="22"/>
        </w:rPr>
        <w:t xml:space="preserve"> şi reprezintă auditul exercitat de specialiştii din Curtea de Conturi asupra diferitelor programe, activităţi şi ins</w:t>
      </w:r>
      <w:bookmarkStart w:id="3" w:name="_GoBack"/>
      <w:bookmarkEnd w:id="3"/>
      <w:r w:rsidRPr="00F21CED">
        <w:rPr>
          <w:b w:val="0"/>
          <w:color w:val="000000"/>
          <w:spacing w:val="-2"/>
          <w:sz w:val="22"/>
          <w:szCs w:val="22"/>
        </w:rPr>
        <w:t>tituţii guvernamentale; are drept scop revizuirea şi verificarea eficienţei utilizării „banului</w:t>
      </w:r>
      <w:r w:rsidRPr="00F21CED">
        <w:rPr>
          <w:b w:val="0"/>
          <w:color w:val="000000"/>
          <w:sz w:val="22"/>
          <w:szCs w:val="22"/>
        </w:rPr>
        <w:t xml:space="preserve"> public”</w:t>
      </w:r>
      <w:r w:rsidRPr="00F21CED">
        <w:rPr>
          <w:b w:val="0"/>
          <w:i/>
          <w:color w:val="000000"/>
          <w:sz w:val="22"/>
          <w:szCs w:val="22"/>
        </w:rPr>
        <w:t>.</w:t>
      </w:r>
    </w:p>
    <w:p w:rsidR="00B33796" w:rsidRPr="00F21CED" w:rsidRDefault="00B33796" w:rsidP="007C5BB0">
      <w:pPr>
        <w:pStyle w:val="BodyTextIndent"/>
        <w:spacing w:line="240" w:lineRule="auto"/>
        <w:ind w:left="0" w:firstLine="567"/>
        <w:rPr>
          <w:b w:val="0"/>
          <w:iCs/>
          <w:color w:val="000000"/>
          <w:sz w:val="22"/>
          <w:szCs w:val="22"/>
        </w:rPr>
      </w:pPr>
      <w:r w:rsidRPr="00F21CED">
        <w:rPr>
          <w:b w:val="0"/>
          <w:iCs/>
          <w:color w:val="000000"/>
          <w:sz w:val="22"/>
          <w:szCs w:val="22"/>
        </w:rPr>
        <w:t xml:space="preserve">Raportul dintre cele trei tipuri de audit expuse, relevă următoarele aspecte: </w:t>
      </w:r>
    </w:p>
    <w:p w:rsidR="00B33796" w:rsidRPr="003A0D9D" w:rsidRDefault="00B33796" w:rsidP="007C5BB0">
      <w:pPr>
        <w:pStyle w:val="BodyTextIndent"/>
        <w:spacing w:line="240" w:lineRule="auto"/>
        <w:ind w:left="0" w:firstLine="720"/>
        <w:rPr>
          <w:b w:val="0"/>
          <w:iCs/>
          <w:color w:val="000000"/>
          <w:sz w:val="12"/>
          <w:szCs w:val="12"/>
        </w:rPr>
      </w:pPr>
    </w:p>
    <w:p w:rsidR="00B33796" w:rsidRPr="003A0D9D" w:rsidRDefault="00B33796" w:rsidP="007C5BB0">
      <w:pPr>
        <w:pStyle w:val="BodyTextIndent"/>
        <w:spacing w:line="240" w:lineRule="auto"/>
        <w:ind w:left="0"/>
        <w:jc w:val="center"/>
        <w:rPr>
          <w:color w:val="000000"/>
          <w:sz w:val="20"/>
          <w:szCs w:val="20"/>
        </w:rPr>
      </w:pPr>
      <w:r w:rsidRPr="003A0D9D">
        <w:rPr>
          <w:color w:val="000000"/>
          <w:sz w:val="20"/>
          <w:szCs w:val="20"/>
        </w:rPr>
        <w:t>Tabelul nr. 1.2 Relaţia audit intern – audit extern – audit fiscal</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2368"/>
        <w:gridCol w:w="1893"/>
      </w:tblGrid>
      <w:tr w:rsidR="0031062D" w:rsidRPr="00F21CED" w:rsidTr="0031062D">
        <w:trPr>
          <w:jc w:val="center"/>
        </w:trPr>
        <w:tc>
          <w:tcPr>
            <w:tcW w:w="0" w:type="auto"/>
            <w:tcBorders>
              <w:top w:val="single" w:sz="4" w:space="0" w:color="auto"/>
            </w:tcBorders>
            <w:vAlign w:val="center"/>
          </w:tcPr>
          <w:p w:rsidR="0031062D" w:rsidRPr="00F21CED" w:rsidRDefault="0031062D" w:rsidP="007C5BB0">
            <w:pPr>
              <w:pStyle w:val="BodyTextIndent"/>
              <w:spacing w:line="240" w:lineRule="auto"/>
              <w:ind w:left="0" w:hanging="108"/>
              <w:rPr>
                <w:bCs w:val="0"/>
                <w:color w:val="000000"/>
                <w:sz w:val="18"/>
                <w:szCs w:val="18"/>
              </w:rPr>
            </w:pPr>
            <w:r w:rsidRPr="00F21CED">
              <w:rPr>
                <w:bCs w:val="0"/>
                <w:color w:val="000000"/>
                <w:sz w:val="18"/>
                <w:szCs w:val="18"/>
              </w:rPr>
              <w:t>Auditul intern</w:t>
            </w:r>
          </w:p>
        </w:tc>
        <w:tc>
          <w:tcPr>
            <w:tcW w:w="0" w:type="auto"/>
            <w:tcBorders>
              <w:top w:val="single" w:sz="4" w:space="0" w:color="auto"/>
            </w:tcBorders>
            <w:vAlign w:val="center"/>
          </w:tcPr>
          <w:p w:rsidR="0031062D" w:rsidRPr="00F21CED" w:rsidRDefault="0031062D" w:rsidP="007C5BB0">
            <w:pPr>
              <w:pStyle w:val="BodyTextIndent"/>
              <w:spacing w:line="240" w:lineRule="auto"/>
              <w:ind w:left="0" w:firstLine="34"/>
              <w:rPr>
                <w:bCs w:val="0"/>
                <w:color w:val="000000"/>
                <w:sz w:val="18"/>
                <w:szCs w:val="18"/>
              </w:rPr>
            </w:pPr>
            <w:r w:rsidRPr="00F21CED">
              <w:rPr>
                <w:bCs w:val="0"/>
                <w:color w:val="000000"/>
                <w:sz w:val="18"/>
                <w:szCs w:val="18"/>
              </w:rPr>
              <w:t>Auditul extern</w:t>
            </w:r>
          </w:p>
        </w:tc>
        <w:tc>
          <w:tcPr>
            <w:tcW w:w="0" w:type="auto"/>
            <w:tcBorders>
              <w:top w:val="single" w:sz="4" w:space="0" w:color="auto"/>
            </w:tcBorders>
          </w:tcPr>
          <w:p w:rsidR="0031062D" w:rsidRPr="00F21CED" w:rsidRDefault="0031062D" w:rsidP="007C5BB0">
            <w:pPr>
              <w:pStyle w:val="BodyTextIndent"/>
              <w:spacing w:line="240" w:lineRule="auto"/>
              <w:ind w:left="0" w:firstLine="34"/>
              <w:rPr>
                <w:bCs w:val="0"/>
                <w:color w:val="000000"/>
                <w:sz w:val="18"/>
                <w:szCs w:val="18"/>
              </w:rPr>
            </w:pPr>
            <w:r w:rsidRPr="00F21CED">
              <w:rPr>
                <w:bCs w:val="0"/>
                <w:color w:val="000000"/>
                <w:sz w:val="18"/>
                <w:szCs w:val="18"/>
              </w:rPr>
              <w:t>Auditul fiscal</w:t>
            </w:r>
          </w:p>
        </w:tc>
      </w:tr>
      <w:tr w:rsidR="0031062D" w:rsidRPr="00F21CED" w:rsidTr="0031062D">
        <w:trPr>
          <w:jc w:val="center"/>
        </w:trPr>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Examinarea şi evaluarea permanentă a activităţilor unităţii</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Auditarea situaţiilor financiare de sinteză, oferirea consultanţei de specialitate</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Analizează modalitatea de utilizare a „banului public”</w:t>
            </w:r>
          </w:p>
        </w:tc>
      </w:tr>
      <w:tr w:rsidR="0031062D" w:rsidRPr="00F21CED" w:rsidTr="0031062D">
        <w:trPr>
          <w:jc w:val="center"/>
        </w:trPr>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Managerului unităţii auditate</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Utilizatorilor de informaţii: parteneri, furnizori, bancheri, acţionari</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Ministerului Finanţelor Publice, Curtea de Conturi</w:t>
            </w:r>
          </w:p>
        </w:tc>
      </w:tr>
      <w:tr w:rsidR="0031062D" w:rsidRPr="00F21CED" w:rsidTr="0031062D">
        <w:trPr>
          <w:jc w:val="center"/>
        </w:trPr>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Personalul propriu din serviciul de audit intern</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Auditorii independenţi, angajaţi prin contract</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Angajaţi ai instituţiilor publice specializate</w:t>
            </w:r>
          </w:p>
        </w:tc>
      </w:tr>
      <w:tr w:rsidR="0031062D" w:rsidRPr="00F21CED" w:rsidTr="0031062D">
        <w:trPr>
          <w:jc w:val="center"/>
        </w:trPr>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Auditul de conformitate şi auditul operaţional</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Auditul situaţiilor financiare</w:t>
            </w:r>
          </w:p>
        </w:tc>
        <w:tc>
          <w:tcPr>
            <w:tcW w:w="0" w:type="auto"/>
            <w:vAlign w:val="center"/>
          </w:tcPr>
          <w:p w:rsidR="0031062D" w:rsidRPr="00F21CED" w:rsidRDefault="0031062D" w:rsidP="007C5BB0">
            <w:pPr>
              <w:pStyle w:val="BodyTextIndent"/>
              <w:spacing w:line="240" w:lineRule="auto"/>
              <w:ind w:left="0" w:firstLine="34"/>
              <w:jc w:val="left"/>
              <w:rPr>
                <w:b w:val="0"/>
                <w:iCs/>
                <w:color w:val="000000"/>
                <w:sz w:val="18"/>
                <w:szCs w:val="18"/>
              </w:rPr>
            </w:pPr>
            <w:r w:rsidRPr="00F21CED">
              <w:rPr>
                <w:b w:val="0"/>
                <w:iCs/>
                <w:color w:val="000000"/>
                <w:sz w:val="18"/>
                <w:szCs w:val="18"/>
              </w:rPr>
              <w:t>Auditul de conformitate şi auditul operaţional</w:t>
            </w:r>
          </w:p>
        </w:tc>
      </w:tr>
    </w:tbl>
    <w:p w:rsidR="007C5BB0" w:rsidRPr="00F21CED" w:rsidRDefault="007C5BB0" w:rsidP="007C5BB0">
      <w:pPr>
        <w:pStyle w:val="Text"/>
        <w:ind w:firstLine="0"/>
        <w:jc w:val="center"/>
        <w:rPr>
          <w:i/>
          <w:sz w:val="18"/>
          <w:szCs w:val="18"/>
        </w:rPr>
      </w:pPr>
      <w:r w:rsidRPr="00F21CED">
        <w:rPr>
          <w:i/>
          <w:sz w:val="18"/>
          <w:szCs w:val="18"/>
        </w:rPr>
        <w:t>Sursa: Collins Lionel et Valin Gérard – Audit et contrôl interne, Ed. Dalloz, Paris, 1992, p. 17.</w:t>
      </w:r>
    </w:p>
    <w:p w:rsidR="007C5BB0" w:rsidRPr="003A0D9D" w:rsidRDefault="007C5BB0" w:rsidP="007C5BB0">
      <w:pPr>
        <w:pStyle w:val="Text"/>
        <w:ind w:firstLine="0"/>
        <w:rPr>
          <w:i/>
          <w:sz w:val="12"/>
          <w:szCs w:val="12"/>
        </w:rPr>
      </w:pPr>
    </w:p>
    <w:p w:rsidR="007C5BB0" w:rsidRPr="00F21CED" w:rsidRDefault="007C5BB0" w:rsidP="008E728F">
      <w:pPr>
        <w:spacing w:after="0" w:line="240" w:lineRule="auto"/>
        <w:ind w:firstLine="567"/>
        <w:jc w:val="both"/>
        <w:rPr>
          <w:rFonts w:ascii="Times New Roman" w:eastAsia="Calibri" w:hAnsi="Times New Roman" w:cs="Times New Roman"/>
          <w:color w:val="000000"/>
        </w:rPr>
      </w:pPr>
      <w:proofErr w:type="spellStart"/>
      <w:r w:rsidRPr="00F21CED">
        <w:rPr>
          <w:rFonts w:ascii="Times New Roman" w:eastAsia="Calibri" w:hAnsi="Times New Roman" w:cs="Times New Roman"/>
          <w:color w:val="000000"/>
        </w:rPr>
        <w:t>Însuşi</w:t>
      </w:r>
      <w:proofErr w:type="spellEnd"/>
      <w:r w:rsidRPr="00F21CED">
        <w:rPr>
          <w:rFonts w:ascii="Times New Roman" w:eastAsia="Calibri" w:hAnsi="Times New Roman" w:cs="Times New Roman"/>
          <w:color w:val="000000"/>
        </w:rPr>
        <w:t xml:space="preserve"> Luca </w:t>
      </w:r>
      <w:proofErr w:type="spellStart"/>
      <w:r w:rsidRPr="00F21CED">
        <w:rPr>
          <w:rFonts w:ascii="Times New Roman" w:eastAsia="Calibri" w:hAnsi="Times New Roman" w:cs="Times New Roman"/>
          <w:color w:val="000000"/>
        </w:rPr>
        <w:t>Paciolo</w:t>
      </w:r>
      <w:proofErr w:type="spellEnd"/>
      <w:r w:rsidRPr="00F21CED">
        <w:rPr>
          <w:rFonts w:ascii="Times New Roman" w:eastAsia="Calibri" w:hAnsi="Times New Roman" w:cs="Times New Roman"/>
          <w:color w:val="000000"/>
          <w:vertAlign w:val="superscript"/>
        </w:rPr>
        <w:footnoteReference w:id="1"/>
      </w:r>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recunoscuse</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importanţa</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unor</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aspecte</w:t>
      </w:r>
      <w:proofErr w:type="spellEnd"/>
      <w:r w:rsidRPr="00F21CED">
        <w:rPr>
          <w:rFonts w:ascii="Times New Roman" w:eastAsia="Calibri" w:hAnsi="Times New Roman" w:cs="Times New Roman"/>
          <w:color w:val="000000"/>
        </w:rPr>
        <w:t xml:space="preserve"> de control intern </w:t>
      </w:r>
      <w:proofErr w:type="spellStart"/>
      <w:r w:rsidRPr="00F21CED">
        <w:rPr>
          <w:rFonts w:ascii="Times New Roman" w:eastAsia="Calibri" w:hAnsi="Times New Roman" w:cs="Times New Roman"/>
          <w:color w:val="000000"/>
        </w:rPr>
        <w:t>prin</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necesitatea</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aplicării</w:t>
      </w:r>
      <w:proofErr w:type="spellEnd"/>
      <w:r w:rsidRPr="00F21CED">
        <w:rPr>
          <w:rFonts w:ascii="Times New Roman" w:eastAsia="Calibri" w:hAnsi="Times New Roman" w:cs="Times New Roman"/>
          <w:color w:val="000000"/>
        </w:rPr>
        <w:t xml:space="preserve"> </w:t>
      </w:r>
      <w:proofErr w:type="spellStart"/>
      <w:r w:rsidRPr="00F21CED">
        <w:rPr>
          <w:rFonts w:ascii="Times New Roman" w:eastAsia="Calibri" w:hAnsi="Times New Roman" w:cs="Times New Roman"/>
          <w:color w:val="000000"/>
        </w:rPr>
        <w:t>unui</w:t>
      </w:r>
      <w:proofErr w:type="spellEnd"/>
      <w:r w:rsidRPr="00F21CED">
        <w:rPr>
          <w:rFonts w:ascii="Times New Roman" w:eastAsia="Calibri" w:hAnsi="Times New Roman" w:cs="Times New Roman"/>
          <w:color w:val="000000"/>
        </w:rPr>
        <w:t xml:space="preserve"> control de </w:t>
      </w:r>
      <w:proofErr w:type="spellStart"/>
      <w:r w:rsidRPr="00F21CED">
        <w:rPr>
          <w:rFonts w:ascii="Times New Roman" w:eastAsia="Calibri" w:hAnsi="Times New Roman" w:cs="Times New Roman"/>
          <w:color w:val="000000"/>
        </w:rPr>
        <w:t>verosimilitate</w:t>
      </w:r>
      <w:proofErr w:type="spellEnd"/>
      <w:r w:rsidRPr="00F21CED">
        <w:rPr>
          <w:rFonts w:ascii="Times New Roman" w:eastAsia="Calibri" w:hAnsi="Times New Roman" w:cs="Times New Roman"/>
          <w:color w:val="000000"/>
        </w:rPr>
        <w:t xml:space="preserve">. </w:t>
      </w:r>
    </w:p>
    <w:p w:rsidR="00700C28" w:rsidRDefault="00700C28" w:rsidP="007C5BB0">
      <w:pPr>
        <w:spacing w:line="240" w:lineRule="auto"/>
        <w:ind w:firstLine="567"/>
        <w:jc w:val="both"/>
        <w:rPr>
          <w:rFonts w:ascii="Times New Roman" w:eastAsia="Calibri" w:hAnsi="Times New Roman" w:cs="Times New Roman"/>
          <w:color w:val="000000"/>
        </w:rPr>
      </w:pPr>
    </w:p>
    <w:p w:rsidR="00700C28" w:rsidRPr="00700C28" w:rsidRDefault="00700C28" w:rsidP="00700C28">
      <w:pPr>
        <w:spacing w:line="240" w:lineRule="auto"/>
        <w:jc w:val="both"/>
        <w:rPr>
          <w:rFonts w:ascii="Times New Roman" w:hAnsi="Times New Roman" w:cs="Times New Roman"/>
        </w:rPr>
      </w:pPr>
    </w:p>
    <w:sectPr w:rsidR="00700C28" w:rsidRPr="00700C28" w:rsidSect="0031062D">
      <w:footerReference w:type="default" r:id="rId9"/>
      <w:pgSz w:w="8391" w:h="11907"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B0" w:rsidRDefault="007D21B0" w:rsidP="007C5BB0">
      <w:pPr>
        <w:spacing w:after="0" w:line="240" w:lineRule="auto"/>
      </w:pPr>
      <w:r>
        <w:separator/>
      </w:r>
    </w:p>
  </w:endnote>
  <w:endnote w:type="continuationSeparator" w:id="0">
    <w:p w:rsidR="007D21B0" w:rsidRDefault="007D21B0" w:rsidP="007C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869478"/>
      <w:docPartObj>
        <w:docPartGallery w:val="Page Numbers (Bottom of Page)"/>
        <w:docPartUnique/>
      </w:docPartObj>
    </w:sdtPr>
    <w:sdtEndPr>
      <w:rPr>
        <w:noProof/>
        <w:sz w:val="18"/>
        <w:szCs w:val="18"/>
      </w:rPr>
    </w:sdtEndPr>
    <w:sdtContent>
      <w:p w:rsidR="007C5BB0" w:rsidRPr="00700C28" w:rsidRDefault="007C5BB0">
        <w:pPr>
          <w:pStyle w:val="Footer"/>
          <w:jc w:val="center"/>
          <w:rPr>
            <w:sz w:val="18"/>
            <w:szCs w:val="18"/>
          </w:rPr>
        </w:pPr>
        <w:r w:rsidRPr="00F21CED">
          <w:rPr>
            <w:rFonts w:ascii="Times New Roman" w:hAnsi="Times New Roman" w:cs="Times New Roman"/>
            <w:sz w:val="20"/>
            <w:szCs w:val="20"/>
          </w:rPr>
          <w:fldChar w:fldCharType="begin"/>
        </w:r>
        <w:r w:rsidRPr="00F21CED">
          <w:rPr>
            <w:rFonts w:ascii="Times New Roman" w:hAnsi="Times New Roman" w:cs="Times New Roman"/>
            <w:sz w:val="20"/>
            <w:szCs w:val="20"/>
          </w:rPr>
          <w:instrText xml:space="preserve"> PAGE   \* MERGEFORMAT </w:instrText>
        </w:r>
        <w:r w:rsidRPr="00F21CED">
          <w:rPr>
            <w:rFonts w:ascii="Times New Roman" w:hAnsi="Times New Roman" w:cs="Times New Roman"/>
            <w:sz w:val="20"/>
            <w:szCs w:val="20"/>
          </w:rPr>
          <w:fldChar w:fldCharType="separate"/>
        </w:r>
        <w:r w:rsidR="003A0D9D">
          <w:rPr>
            <w:rFonts w:ascii="Times New Roman" w:hAnsi="Times New Roman" w:cs="Times New Roman"/>
            <w:noProof/>
            <w:sz w:val="20"/>
            <w:szCs w:val="20"/>
          </w:rPr>
          <w:t>2</w:t>
        </w:r>
        <w:r w:rsidRPr="00F21CED">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B0" w:rsidRDefault="007D21B0" w:rsidP="007C5BB0">
      <w:pPr>
        <w:spacing w:after="0" w:line="240" w:lineRule="auto"/>
      </w:pPr>
      <w:r>
        <w:separator/>
      </w:r>
    </w:p>
  </w:footnote>
  <w:footnote w:type="continuationSeparator" w:id="0">
    <w:p w:rsidR="007D21B0" w:rsidRDefault="007D21B0" w:rsidP="007C5BB0">
      <w:pPr>
        <w:spacing w:after="0" w:line="240" w:lineRule="auto"/>
      </w:pPr>
      <w:r>
        <w:continuationSeparator/>
      </w:r>
    </w:p>
  </w:footnote>
  <w:footnote w:id="1">
    <w:p w:rsidR="007C5BB0" w:rsidRPr="00F21CED" w:rsidRDefault="007C5BB0" w:rsidP="007C5BB0">
      <w:pPr>
        <w:pStyle w:val="FootnoteText"/>
        <w:jc w:val="both"/>
        <w:rPr>
          <w:sz w:val="18"/>
          <w:szCs w:val="18"/>
        </w:rPr>
      </w:pPr>
      <w:r w:rsidRPr="00F21CED">
        <w:rPr>
          <w:rStyle w:val="FootnoteReference"/>
          <w:sz w:val="18"/>
          <w:szCs w:val="18"/>
        </w:rPr>
        <w:footnoteRef/>
      </w:r>
      <w:r w:rsidRPr="00F21CED">
        <w:rPr>
          <w:sz w:val="18"/>
          <w:szCs w:val="18"/>
        </w:rPr>
        <w:t xml:space="preserve"> Luca Paciolo a fost un călugăr franciscan care se ocupa de ţinerea registrelor mânăstirii şi care a fost numit întemeietorul contabilităţii în partidă dublă.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3BA"/>
    <w:multiLevelType w:val="multilevel"/>
    <w:tmpl w:val="017C50DA"/>
    <w:lvl w:ilvl="0">
      <w:start w:val="1"/>
      <w:numFmt w:val="decimal"/>
      <w:lvlText w:val="%1."/>
      <w:lvlJc w:val="left"/>
      <w:pPr>
        <w:ind w:left="786" w:hanging="360"/>
      </w:pPr>
      <w:rPr>
        <w:rFonts w:eastAsiaTheme="minorEastAsia" w:hint="default"/>
        <w:sz w:val="22"/>
      </w:rPr>
    </w:lvl>
    <w:lvl w:ilvl="1">
      <w:start w:val="1"/>
      <w:numFmt w:val="decimal"/>
      <w:isLgl/>
      <w:lvlText w:val="%1.%2."/>
      <w:lvlJc w:val="left"/>
      <w:pPr>
        <w:ind w:left="502" w:hanging="360"/>
      </w:pPr>
      <w:rPr>
        <w:rFonts w:eastAsiaTheme="minorEastAsia" w:hint="default"/>
        <w:sz w:val="22"/>
      </w:rPr>
    </w:lvl>
    <w:lvl w:ilvl="2">
      <w:start w:val="1"/>
      <w:numFmt w:val="decimal"/>
      <w:isLgl/>
      <w:lvlText w:val="%1.%2.%3."/>
      <w:lvlJc w:val="left"/>
      <w:pPr>
        <w:ind w:left="1866" w:hanging="720"/>
      </w:pPr>
      <w:rPr>
        <w:rFonts w:eastAsiaTheme="minorEastAsia" w:hint="default"/>
        <w:sz w:val="22"/>
      </w:rPr>
    </w:lvl>
    <w:lvl w:ilvl="3">
      <w:start w:val="1"/>
      <w:numFmt w:val="decimal"/>
      <w:isLgl/>
      <w:lvlText w:val="%1.%2.%3.%4."/>
      <w:lvlJc w:val="left"/>
      <w:pPr>
        <w:ind w:left="2226" w:hanging="720"/>
      </w:pPr>
      <w:rPr>
        <w:rFonts w:eastAsiaTheme="minorEastAsia" w:hint="default"/>
        <w:sz w:val="22"/>
      </w:rPr>
    </w:lvl>
    <w:lvl w:ilvl="4">
      <w:start w:val="1"/>
      <w:numFmt w:val="decimal"/>
      <w:isLgl/>
      <w:lvlText w:val="%1.%2.%3.%4.%5."/>
      <w:lvlJc w:val="left"/>
      <w:pPr>
        <w:ind w:left="2946" w:hanging="1080"/>
      </w:pPr>
      <w:rPr>
        <w:rFonts w:eastAsiaTheme="minorEastAsia" w:hint="default"/>
        <w:sz w:val="22"/>
      </w:rPr>
    </w:lvl>
    <w:lvl w:ilvl="5">
      <w:start w:val="1"/>
      <w:numFmt w:val="decimal"/>
      <w:isLgl/>
      <w:lvlText w:val="%1.%2.%3.%4.%5.%6."/>
      <w:lvlJc w:val="left"/>
      <w:pPr>
        <w:ind w:left="3306" w:hanging="1080"/>
      </w:pPr>
      <w:rPr>
        <w:rFonts w:eastAsiaTheme="minorEastAsia" w:hint="default"/>
        <w:sz w:val="22"/>
      </w:rPr>
    </w:lvl>
    <w:lvl w:ilvl="6">
      <w:start w:val="1"/>
      <w:numFmt w:val="decimal"/>
      <w:isLgl/>
      <w:lvlText w:val="%1.%2.%3.%4.%5.%6.%7."/>
      <w:lvlJc w:val="left"/>
      <w:pPr>
        <w:ind w:left="4026" w:hanging="1440"/>
      </w:pPr>
      <w:rPr>
        <w:rFonts w:eastAsiaTheme="minorEastAsia" w:hint="default"/>
        <w:sz w:val="22"/>
      </w:rPr>
    </w:lvl>
    <w:lvl w:ilvl="7">
      <w:start w:val="1"/>
      <w:numFmt w:val="decimal"/>
      <w:isLgl/>
      <w:lvlText w:val="%1.%2.%3.%4.%5.%6.%7.%8."/>
      <w:lvlJc w:val="left"/>
      <w:pPr>
        <w:ind w:left="4386" w:hanging="1440"/>
      </w:pPr>
      <w:rPr>
        <w:rFonts w:eastAsiaTheme="minorEastAsia" w:hint="default"/>
        <w:sz w:val="22"/>
      </w:rPr>
    </w:lvl>
    <w:lvl w:ilvl="8">
      <w:start w:val="1"/>
      <w:numFmt w:val="decimal"/>
      <w:isLgl/>
      <w:lvlText w:val="%1.%2.%3.%4.%5.%6.%7.%8.%9."/>
      <w:lvlJc w:val="left"/>
      <w:pPr>
        <w:ind w:left="5106" w:hanging="1800"/>
      </w:pPr>
      <w:rPr>
        <w:rFonts w:eastAsiaTheme="minorEastAsia" w:hint="default"/>
        <w:sz w:val="22"/>
      </w:rPr>
    </w:lvl>
  </w:abstractNum>
  <w:abstractNum w:abstractNumId="1">
    <w:nsid w:val="1BDD285C"/>
    <w:multiLevelType w:val="hybridMultilevel"/>
    <w:tmpl w:val="7328539A"/>
    <w:lvl w:ilvl="0" w:tplc="593825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46D460C"/>
    <w:multiLevelType w:val="hybridMultilevel"/>
    <w:tmpl w:val="D974E81E"/>
    <w:lvl w:ilvl="0" w:tplc="117866A8">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97F56"/>
    <w:multiLevelType w:val="hybridMultilevel"/>
    <w:tmpl w:val="C206F678"/>
    <w:lvl w:ilvl="0" w:tplc="1D6C2F32">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rPr>
        <w:rFonts w:hint="default"/>
        <w:i w:val="0"/>
      </w:rPr>
    </w:lvl>
    <w:lvl w:ilvl="2" w:tplc="0418000B">
      <w:start w:val="1"/>
      <w:numFmt w:val="bullet"/>
      <w:lvlText w:val=""/>
      <w:lvlJc w:val="left"/>
      <w:pPr>
        <w:tabs>
          <w:tab w:val="num" w:pos="2688"/>
        </w:tabs>
        <w:ind w:left="2688" w:hanging="360"/>
      </w:pPr>
      <w:rPr>
        <w:rFonts w:ascii="Wingdings" w:hAnsi="Wingdings" w:hint="default"/>
      </w:r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4">
    <w:nsid w:val="5F883165"/>
    <w:multiLevelType w:val="multilevel"/>
    <w:tmpl w:val="E41CCA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w:hAnsi="Times" w:cs="Times" w:hint="default"/>
        <w:color w:val="000000"/>
        <w:sz w:val="23"/>
      </w:rPr>
    </w:lvl>
    <w:lvl w:ilvl="2">
      <w:start w:val="1"/>
      <w:numFmt w:val="decimal"/>
      <w:isLgl/>
      <w:lvlText w:val="%1.%2.%3."/>
      <w:lvlJc w:val="left"/>
      <w:pPr>
        <w:ind w:left="1080" w:hanging="720"/>
      </w:pPr>
      <w:rPr>
        <w:rFonts w:ascii="Times" w:hAnsi="Times" w:cs="Times" w:hint="default"/>
        <w:color w:val="000000"/>
        <w:sz w:val="23"/>
      </w:rPr>
    </w:lvl>
    <w:lvl w:ilvl="3">
      <w:start w:val="1"/>
      <w:numFmt w:val="decimal"/>
      <w:isLgl/>
      <w:lvlText w:val="%1.%2.%3.%4."/>
      <w:lvlJc w:val="left"/>
      <w:pPr>
        <w:ind w:left="1080" w:hanging="720"/>
      </w:pPr>
      <w:rPr>
        <w:rFonts w:ascii="Times" w:hAnsi="Times" w:cs="Times" w:hint="default"/>
        <w:color w:val="000000"/>
        <w:sz w:val="23"/>
      </w:rPr>
    </w:lvl>
    <w:lvl w:ilvl="4">
      <w:start w:val="1"/>
      <w:numFmt w:val="decimal"/>
      <w:isLgl/>
      <w:lvlText w:val="%1.%2.%3.%4.%5."/>
      <w:lvlJc w:val="left"/>
      <w:pPr>
        <w:ind w:left="1440" w:hanging="1080"/>
      </w:pPr>
      <w:rPr>
        <w:rFonts w:ascii="Times" w:hAnsi="Times" w:cs="Times" w:hint="default"/>
        <w:color w:val="000000"/>
        <w:sz w:val="23"/>
      </w:rPr>
    </w:lvl>
    <w:lvl w:ilvl="5">
      <w:start w:val="1"/>
      <w:numFmt w:val="decimal"/>
      <w:isLgl/>
      <w:lvlText w:val="%1.%2.%3.%4.%5.%6."/>
      <w:lvlJc w:val="left"/>
      <w:pPr>
        <w:ind w:left="1440" w:hanging="1080"/>
      </w:pPr>
      <w:rPr>
        <w:rFonts w:ascii="Times" w:hAnsi="Times" w:cs="Times" w:hint="default"/>
        <w:color w:val="000000"/>
        <w:sz w:val="23"/>
      </w:rPr>
    </w:lvl>
    <w:lvl w:ilvl="6">
      <w:start w:val="1"/>
      <w:numFmt w:val="decimal"/>
      <w:isLgl/>
      <w:lvlText w:val="%1.%2.%3.%4.%5.%6.%7."/>
      <w:lvlJc w:val="left"/>
      <w:pPr>
        <w:ind w:left="1800" w:hanging="1440"/>
      </w:pPr>
      <w:rPr>
        <w:rFonts w:ascii="Times" w:hAnsi="Times" w:cs="Times" w:hint="default"/>
        <w:color w:val="000000"/>
        <w:sz w:val="23"/>
      </w:rPr>
    </w:lvl>
    <w:lvl w:ilvl="7">
      <w:start w:val="1"/>
      <w:numFmt w:val="decimal"/>
      <w:isLgl/>
      <w:lvlText w:val="%1.%2.%3.%4.%5.%6.%7.%8."/>
      <w:lvlJc w:val="left"/>
      <w:pPr>
        <w:ind w:left="1800" w:hanging="1440"/>
      </w:pPr>
      <w:rPr>
        <w:rFonts w:ascii="Times" w:hAnsi="Times" w:cs="Times" w:hint="default"/>
        <w:color w:val="000000"/>
        <w:sz w:val="23"/>
      </w:rPr>
    </w:lvl>
    <w:lvl w:ilvl="8">
      <w:start w:val="1"/>
      <w:numFmt w:val="decimal"/>
      <w:isLgl/>
      <w:lvlText w:val="%1.%2.%3.%4.%5.%6.%7.%8.%9."/>
      <w:lvlJc w:val="left"/>
      <w:pPr>
        <w:ind w:left="2160" w:hanging="1800"/>
      </w:pPr>
      <w:rPr>
        <w:rFonts w:ascii="Times" w:hAnsi="Times" w:cs="Times" w:hint="default"/>
        <w:color w:val="000000"/>
        <w:sz w:val="23"/>
      </w:rPr>
    </w:lvl>
  </w:abstractNum>
  <w:abstractNum w:abstractNumId="5">
    <w:nsid w:val="68827EA9"/>
    <w:multiLevelType w:val="multilevel"/>
    <w:tmpl w:val="57B4ECF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71A47261"/>
    <w:multiLevelType w:val="hybridMultilevel"/>
    <w:tmpl w:val="7E305608"/>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73C5259A"/>
    <w:multiLevelType w:val="hybridMultilevel"/>
    <w:tmpl w:val="CC883624"/>
    <w:lvl w:ilvl="0" w:tplc="08608A6C">
      <w:start w:val="1"/>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num w:numId="1">
    <w:abstractNumId w:val="4"/>
  </w:num>
  <w:num w:numId="2">
    <w:abstractNumId w:val="0"/>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43"/>
    <w:rsid w:val="00065A82"/>
    <w:rsid w:val="000B1125"/>
    <w:rsid w:val="000D6C45"/>
    <w:rsid w:val="001169DD"/>
    <w:rsid w:val="0016226B"/>
    <w:rsid w:val="00194BB5"/>
    <w:rsid w:val="001F43D6"/>
    <w:rsid w:val="002466A6"/>
    <w:rsid w:val="00250AAC"/>
    <w:rsid w:val="002E768A"/>
    <w:rsid w:val="0031062D"/>
    <w:rsid w:val="00320862"/>
    <w:rsid w:val="003467E8"/>
    <w:rsid w:val="00387469"/>
    <w:rsid w:val="0038760B"/>
    <w:rsid w:val="003A0D9D"/>
    <w:rsid w:val="003A753C"/>
    <w:rsid w:val="003C3B79"/>
    <w:rsid w:val="00445016"/>
    <w:rsid w:val="00463972"/>
    <w:rsid w:val="0046726A"/>
    <w:rsid w:val="00470BE0"/>
    <w:rsid w:val="00477D80"/>
    <w:rsid w:val="004F511C"/>
    <w:rsid w:val="00565EC8"/>
    <w:rsid w:val="0057657A"/>
    <w:rsid w:val="00583C05"/>
    <w:rsid w:val="005E4AC9"/>
    <w:rsid w:val="005F3654"/>
    <w:rsid w:val="00600DE2"/>
    <w:rsid w:val="0061248F"/>
    <w:rsid w:val="00700C28"/>
    <w:rsid w:val="00703CDC"/>
    <w:rsid w:val="00722C5F"/>
    <w:rsid w:val="007478AE"/>
    <w:rsid w:val="007707FC"/>
    <w:rsid w:val="007824F5"/>
    <w:rsid w:val="007C5BB0"/>
    <w:rsid w:val="007D21B0"/>
    <w:rsid w:val="007D7028"/>
    <w:rsid w:val="00833C58"/>
    <w:rsid w:val="00845AF0"/>
    <w:rsid w:val="008A4F33"/>
    <w:rsid w:val="008C46D8"/>
    <w:rsid w:val="008D279F"/>
    <w:rsid w:val="008E728F"/>
    <w:rsid w:val="00933C4E"/>
    <w:rsid w:val="009A1288"/>
    <w:rsid w:val="009B7E7F"/>
    <w:rsid w:val="009E1443"/>
    <w:rsid w:val="00AA6897"/>
    <w:rsid w:val="00AE1F04"/>
    <w:rsid w:val="00B032C5"/>
    <w:rsid w:val="00B33100"/>
    <w:rsid w:val="00B33796"/>
    <w:rsid w:val="00B65FA3"/>
    <w:rsid w:val="00B720C3"/>
    <w:rsid w:val="00BC5983"/>
    <w:rsid w:val="00C62207"/>
    <w:rsid w:val="00C716BA"/>
    <w:rsid w:val="00C85AB6"/>
    <w:rsid w:val="00D03E2F"/>
    <w:rsid w:val="00D12B99"/>
    <w:rsid w:val="00D14A43"/>
    <w:rsid w:val="00D42E84"/>
    <w:rsid w:val="00D75C3C"/>
    <w:rsid w:val="00DD09CC"/>
    <w:rsid w:val="00DF49A4"/>
    <w:rsid w:val="00E46427"/>
    <w:rsid w:val="00EA4541"/>
    <w:rsid w:val="00EE7344"/>
    <w:rsid w:val="00EF2507"/>
    <w:rsid w:val="00F06921"/>
    <w:rsid w:val="00F07D0A"/>
    <w:rsid w:val="00F1385E"/>
    <w:rsid w:val="00F20099"/>
    <w:rsid w:val="00F21CED"/>
    <w:rsid w:val="00F37968"/>
    <w:rsid w:val="00FC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7478AE"/>
    <w:pPr>
      <w:keepNext/>
      <w:suppressAutoHyphens/>
      <w:spacing w:before="360" w:after="360" w:line="240" w:lineRule="auto"/>
      <w:jc w:val="center"/>
      <w:outlineLvl w:val="0"/>
    </w:pPr>
    <w:rPr>
      <w:rFonts w:ascii="Arial" w:eastAsia="Times New Roman" w:hAnsi="Arial" w:cs="Times New Roman"/>
      <w:b/>
      <w:sz w:val="36"/>
      <w:szCs w:val="20"/>
      <w:lang w:val="ro-RO" w:eastAsia="ar-SA"/>
    </w:rPr>
  </w:style>
  <w:style w:type="paragraph" w:styleId="Heading2">
    <w:name w:val="heading 2"/>
    <w:basedOn w:val="Normal"/>
    <w:next w:val="Normal"/>
    <w:link w:val="Heading2Char"/>
    <w:uiPriority w:val="9"/>
    <w:semiHidden/>
    <w:unhideWhenUsed/>
    <w:qFormat/>
    <w:rsid w:val="007478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3D6"/>
    <w:pPr>
      <w:ind w:left="720"/>
      <w:contextualSpacing/>
    </w:pPr>
  </w:style>
  <w:style w:type="paragraph" w:styleId="NoSpacing">
    <w:name w:val="No Spacing"/>
    <w:uiPriority w:val="1"/>
    <w:qFormat/>
    <w:rsid w:val="00583C05"/>
    <w:pPr>
      <w:spacing w:after="0" w:line="240" w:lineRule="auto"/>
    </w:pPr>
    <w:rPr>
      <w:lang w:val="ro-RO"/>
    </w:rPr>
  </w:style>
  <w:style w:type="paragraph" w:styleId="Header">
    <w:name w:val="header"/>
    <w:basedOn w:val="Normal"/>
    <w:link w:val="HeaderChar"/>
    <w:uiPriority w:val="99"/>
    <w:unhideWhenUsed/>
    <w:rsid w:val="00583C05"/>
    <w:pPr>
      <w:tabs>
        <w:tab w:val="center" w:pos="4536"/>
        <w:tab w:val="right" w:pos="9072"/>
      </w:tabs>
      <w:spacing w:after="0" w:line="240" w:lineRule="auto"/>
    </w:pPr>
    <w:rPr>
      <w:lang w:val="ro-RO"/>
    </w:rPr>
  </w:style>
  <w:style w:type="character" w:customStyle="1" w:styleId="HeaderChar">
    <w:name w:val="Header Char"/>
    <w:basedOn w:val="DefaultParagraphFont"/>
    <w:link w:val="Header"/>
    <w:uiPriority w:val="99"/>
    <w:rsid w:val="00583C05"/>
    <w:rPr>
      <w:lang w:val="ro-RO"/>
    </w:rPr>
  </w:style>
  <w:style w:type="character" w:styleId="Strong">
    <w:name w:val="Strong"/>
    <w:qFormat/>
    <w:rsid w:val="007D7028"/>
    <w:rPr>
      <w:b/>
      <w:bCs/>
    </w:rPr>
  </w:style>
  <w:style w:type="paragraph" w:styleId="NormalWeb">
    <w:name w:val="Normal (Web)"/>
    <w:basedOn w:val="Normal"/>
    <w:semiHidden/>
    <w:unhideWhenUsed/>
    <w:rsid w:val="00F20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478AE"/>
    <w:rPr>
      <w:rFonts w:ascii="Arial" w:eastAsia="Times New Roman" w:hAnsi="Arial" w:cs="Times New Roman"/>
      <w:b/>
      <w:sz w:val="36"/>
      <w:szCs w:val="20"/>
      <w:lang w:val="ro-RO" w:eastAsia="ar-SA"/>
    </w:rPr>
  </w:style>
  <w:style w:type="paragraph" w:customStyle="1" w:styleId="Cap11">
    <w:name w:val="Cap 11"/>
    <w:basedOn w:val="Heading2"/>
    <w:autoRedefine/>
    <w:rsid w:val="007478AE"/>
    <w:pPr>
      <w:keepLines w:val="0"/>
      <w:spacing w:before="360" w:after="240" w:line="240" w:lineRule="auto"/>
    </w:pPr>
    <w:rPr>
      <w:rFonts w:ascii="Times New Roman" w:eastAsia="Times New Roman" w:hAnsi="Times New Roman" w:cs="Times New Roman"/>
      <w:iCs/>
      <w:color w:val="FF0000"/>
      <w:sz w:val="24"/>
      <w:szCs w:val="24"/>
      <w:lang w:val="ro-RO" w:eastAsia="ro-RO"/>
    </w:rPr>
  </w:style>
  <w:style w:type="paragraph" w:styleId="Subtitle">
    <w:name w:val="Subtitle"/>
    <w:basedOn w:val="Normal"/>
    <w:link w:val="SubtitleChar"/>
    <w:qFormat/>
    <w:rsid w:val="007478AE"/>
    <w:pPr>
      <w:widowControl w:val="0"/>
      <w:spacing w:after="0" w:line="356" w:lineRule="atLeast"/>
      <w:ind w:left="600"/>
      <w:jc w:val="both"/>
    </w:pPr>
    <w:rPr>
      <w:rFonts w:ascii="Times New Roman" w:eastAsia="Times New Roman" w:hAnsi="Times New Roman" w:cs="Times New Roman"/>
      <w:snapToGrid w:val="0"/>
      <w:sz w:val="24"/>
      <w:szCs w:val="20"/>
      <w:lang w:val="ro-RO"/>
    </w:rPr>
  </w:style>
  <w:style w:type="character" w:customStyle="1" w:styleId="SubtitleChar">
    <w:name w:val="Subtitle Char"/>
    <w:basedOn w:val="DefaultParagraphFont"/>
    <w:link w:val="Subtitle"/>
    <w:rsid w:val="007478AE"/>
    <w:rPr>
      <w:rFonts w:ascii="Times New Roman" w:eastAsia="Times New Roman" w:hAnsi="Times New Roman" w:cs="Times New Roman"/>
      <w:snapToGrid w:val="0"/>
      <w:sz w:val="24"/>
      <w:szCs w:val="20"/>
      <w:lang w:val="ro-RO"/>
    </w:rPr>
  </w:style>
  <w:style w:type="character" w:customStyle="1" w:styleId="Heading2Char">
    <w:name w:val="Heading 2 Char"/>
    <w:basedOn w:val="DefaultParagraphFont"/>
    <w:link w:val="Heading2"/>
    <w:uiPriority w:val="9"/>
    <w:semiHidden/>
    <w:rsid w:val="007478AE"/>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74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AE"/>
    <w:rPr>
      <w:rFonts w:ascii="Tahoma" w:hAnsi="Tahoma" w:cs="Tahoma"/>
      <w:sz w:val="16"/>
      <w:szCs w:val="16"/>
    </w:rPr>
  </w:style>
  <w:style w:type="paragraph" w:styleId="BodyTextIndent">
    <w:name w:val="Body Text Indent"/>
    <w:basedOn w:val="Normal"/>
    <w:link w:val="BodyTextIndentChar"/>
    <w:rsid w:val="00B33796"/>
    <w:pPr>
      <w:spacing w:after="0" w:line="360" w:lineRule="auto"/>
      <w:ind w:left="708"/>
      <w:jc w:val="both"/>
    </w:pPr>
    <w:rPr>
      <w:rFonts w:ascii="Times New Roman" w:eastAsia="Times New Roman" w:hAnsi="Times New Roman" w:cs="Times New Roman"/>
      <w:b/>
      <w:bCs/>
      <w:sz w:val="28"/>
      <w:szCs w:val="24"/>
      <w:lang w:val="ro-RO" w:eastAsia="ro-RO"/>
    </w:rPr>
  </w:style>
  <w:style w:type="character" w:customStyle="1" w:styleId="BodyTextIndentChar">
    <w:name w:val="Body Text Indent Char"/>
    <w:basedOn w:val="DefaultParagraphFont"/>
    <w:link w:val="BodyTextIndent"/>
    <w:rsid w:val="00B33796"/>
    <w:rPr>
      <w:rFonts w:ascii="Times New Roman" w:eastAsia="Times New Roman" w:hAnsi="Times New Roman" w:cs="Times New Roman"/>
      <w:b/>
      <w:bCs/>
      <w:sz w:val="28"/>
      <w:szCs w:val="24"/>
      <w:lang w:val="ro-RO" w:eastAsia="ro-RO"/>
    </w:rPr>
  </w:style>
  <w:style w:type="paragraph" w:styleId="BodyText">
    <w:name w:val="Body Text"/>
    <w:basedOn w:val="Normal"/>
    <w:link w:val="BodyTextChar"/>
    <w:uiPriority w:val="99"/>
    <w:semiHidden/>
    <w:unhideWhenUsed/>
    <w:rsid w:val="00B33796"/>
    <w:pPr>
      <w:spacing w:after="120"/>
    </w:pPr>
  </w:style>
  <w:style w:type="character" w:customStyle="1" w:styleId="BodyTextChar">
    <w:name w:val="Body Text Char"/>
    <w:basedOn w:val="DefaultParagraphFont"/>
    <w:link w:val="BodyText"/>
    <w:uiPriority w:val="99"/>
    <w:semiHidden/>
    <w:rsid w:val="00B33796"/>
  </w:style>
  <w:style w:type="character" w:styleId="FootnoteReference">
    <w:name w:val="footnote reference"/>
    <w:semiHidden/>
    <w:rsid w:val="007C5BB0"/>
    <w:rPr>
      <w:vertAlign w:val="superscript"/>
    </w:rPr>
  </w:style>
  <w:style w:type="paragraph" w:styleId="FootnoteText">
    <w:name w:val="footnote text"/>
    <w:basedOn w:val="Normal"/>
    <w:link w:val="FootnoteTextChar"/>
    <w:semiHidden/>
    <w:rsid w:val="007C5BB0"/>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basedOn w:val="DefaultParagraphFont"/>
    <w:link w:val="FootnoteText"/>
    <w:semiHidden/>
    <w:rsid w:val="007C5BB0"/>
    <w:rPr>
      <w:rFonts w:ascii="Times New Roman" w:eastAsia="Times New Roman" w:hAnsi="Times New Roman" w:cs="Times New Roman"/>
      <w:sz w:val="20"/>
      <w:szCs w:val="20"/>
      <w:lang w:val="ro-RO" w:eastAsia="ro-RO"/>
    </w:rPr>
  </w:style>
  <w:style w:type="paragraph" w:customStyle="1" w:styleId="Text">
    <w:name w:val="Text"/>
    <w:basedOn w:val="Normal"/>
    <w:qFormat/>
    <w:rsid w:val="007C5BB0"/>
    <w:pPr>
      <w:spacing w:after="0" w:line="300" w:lineRule="auto"/>
      <w:ind w:firstLine="720"/>
      <w:jc w:val="both"/>
    </w:pPr>
    <w:rPr>
      <w:rFonts w:ascii="Times New Roman" w:eastAsia="Calibri" w:hAnsi="Times New Roman" w:cs="Times New Roman"/>
      <w:color w:val="000000"/>
      <w:sz w:val="24"/>
      <w:lang w:val="ro-RO"/>
    </w:rPr>
  </w:style>
  <w:style w:type="paragraph" w:styleId="Footer">
    <w:name w:val="footer"/>
    <w:basedOn w:val="Normal"/>
    <w:link w:val="FooterChar"/>
    <w:uiPriority w:val="99"/>
    <w:unhideWhenUsed/>
    <w:rsid w:val="007C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B531-F18F-4189-A67E-A309575E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User-Craiova</cp:lastModifiedBy>
  <cp:revision>7</cp:revision>
  <cp:lastPrinted>2017-02-23T11:53:00Z</cp:lastPrinted>
  <dcterms:created xsi:type="dcterms:W3CDTF">2017-05-19T11:08:00Z</dcterms:created>
  <dcterms:modified xsi:type="dcterms:W3CDTF">2017-05-30T09:13:00Z</dcterms:modified>
</cp:coreProperties>
</file>